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2879F6C7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C5607E">
        <w:rPr>
          <w:rFonts w:ascii="Arial" w:hAnsi="Arial" w:cs="Arial"/>
          <w:sz w:val="40"/>
          <w:szCs w:val="40"/>
          <w:lang w:val="es-MX"/>
        </w:rPr>
        <w:t>Nueva York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proofErr w:type="spellStart"/>
      <w:r w:rsidRPr="00233BB3">
        <w:rPr>
          <w:sz w:val="32"/>
          <w:szCs w:val="32"/>
          <w:lang w:val="es-MX"/>
        </w:rPr>
        <w:t>Checklist</w:t>
      </w:r>
      <w:proofErr w:type="spellEnd"/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81941CD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C5607E">
        <w:rPr>
          <w:lang w:val="es-MX"/>
        </w:rPr>
        <w:t>Nueva York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2E0A08B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Hay c</w:t>
      </w:r>
      <w:r w:rsidR="00C5607E">
        <w:rPr>
          <w:lang w:val="es-MX"/>
        </w:rPr>
        <w:t>uatro</w:t>
      </w:r>
      <w:r w:rsidRPr="00F75CEC">
        <w:rPr>
          <w:lang w:val="es-MX"/>
        </w:rPr>
        <w:t xml:space="preserve">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00DE97BE" w:rsidR="00F75CEC" w:rsidRDefault="00C5607E" w:rsidP="00F75CEC">
      <w:pPr>
        <w:ind w:left="720"/>
        <w:rPr>
          <w:lang w:val="es-MX"/>
        </w:rPr>
      </w:pPr>
      <w:r w:rsidRPr="00C5607E">
        <w:rPr>
          <w:lang w:val="es-MX"/>
        </w:rPr>
        <w:t>Bus</w:t>
      </w:r>
      <w:r>
        <w:rPr>
          <w:lang w:val="es-MX"/>
        </w:rPr>
        <w:t>ca</w:t>
      </w:r>
      <w:r w:rsidRPr="00C5607E">
        <w:rPr>
          <w:lang w:val="es-MX"/>
        </w:rPr>
        <w:t xml:space="preserve"> en la base de datos de nombres comerciales del Departamento de Estado para ver si </w:t>
      </w:r>
      <w:r>
        <w:rPr>
          <w:lang w:val="es-MX"/>
        </w:rPr>
        <w:t>t</w:t>
      </w:r>
      <w:r w:rsidRPr="00C5607E">
        <w:rPr>
          <w:lang w:val="es-MX"/>
        </w:rPr>
        <w:t xml:space="preserve">u idea de nombre ya se ha registrado. </w:t>
      </w:r>
      <w:r>
        <w:rPr>
          <w:lang w:val="es-MX"/>
        </w:rPr>
        <w:t xml:space="preserve">También confirma si no </w:t>
      </w:r>
      <w:r w:rsidRPr="00C5607E">
        <w:rPr>
          <w:lang w:val="es-MX"/>
        </w:rPr>
        <w:t>ha sido registrada en la base de datos de marcas registradas de la USPTO.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5C5B4742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28C584BF" w14:textId="3C82618A" w:rsidR="009B6CA4" w:rsidRDefault="009B6CA4" w:rsidP="00C5607E">
      <w:pPr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0F4B1CB1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Pr="009B6CA4">
        <w:rPr>
          <w:b/>
          <w:bCs/>
          <w:lang w:val="es-MX"/>
        </w:rPr>
        <w:t>Registr</w:t>
      </w:r>
      <w:r>
        <w:rPr>
          <w:b/>
          <w:bCs/>
          <w:lang w:val="es-MX"/>
        </w:rPr>
        <w:t>a</w:t>
      </w:r>
      <w:r w:rsidRPr="009B6CA4">
        <w:rPr>
          <w:b/>
          <w:bCs/>
          <w:lang w:val="es-MX"/>
        </w:rPr>
        <w:t xml:space="preserve"> </w:t>
      </w:r>
      <w:r>
        <w:rPr>
          <w:b/>
          <w:bCs/>
          <w:lang w:val="es-MX"/>
        </w:rPr>
        <w:t>t</w:t>
      </w:r>
      <w:r w:rsidRPr="009B6CA4">
        <w:rPr>
          <w:b/>
          <w:bCs/>
          <w:lang w:val="es-MX"/>
        </w:rPr>
        <w:t xml:space="preserve">u </w:t>
      </w:r>
      <w:r w:rsidR="009E7ED2" w:rsidRPr="009E7ED2">
        <w:rPr>
          <w:b/>
          <w:bCs/>
          <w:lang w:val="es-MX"/>
        </w:rPr>
        <w:t>negocio</w:t>
      </w:r>
      <w:r w:rsidR="00C5607E">
        <w:rPr>
          <w:b/>
          <w:bCs/>
          <w:lang w:val="es-MX"/>
        </w:rPr>
        <w:t xml:space="preserve"> en Nueva York</w:t>
      </w:r>
      <w:r w:rsidRPr="009B6CA4">
        <w:rPr>
          <w:b/>
          <w:bCs/>
          <w:lang w:val="es-MX"/>
        </w:rPr>
        <w:t>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736EA4D8" w14:textId="3AED7863" w:rsidR="00C5607E" w:rsidRPr="00C5607E" w:rsidRDefault="009B6CA4" w:rsidP="00C5607E">
      <w:pPr>
        <w:ind w:left="720"/>
        <w:rPr>
          <w:lang w:val="es-MX"/>
        </w:rPr>
      </w:pPr>
      <w:r w:rsidRPr="00F75CEC">
        <w:rPr>
          <w:lang w:val="es-MX"/>
        </w:rPr>
        <w:t xml:space="preserve">2.1. </w:t>
      </w:r>
      <w:r w:rsidR="00C5607E" w:rsidRPr="00C5607E">
        <w:rPr>
          <w:lang w:val="es-MX"/>
        </w:rPr>
        <w:t>Regístr</w:t>
      </w:r>
      <w:r w:rsidR="00C5607E">
        <w:rPr>
          <w:lang w:val="es-MX"/>
        </w:rPr>
        <w:t>ate</w:t>
      </w:r>
      <w:r w:rsidR="00C5607E" w:rsidRPr="00C5607E">
        <w:rPr>
          <w:lang w:val="es-MX"/>
        </w:rPr>
        <w:t xml:space="preserve"> como propietario único, sociedad, corporación o compañía de responsabilidad limitada. </w:t>
      </w:r>
      <w:r w:rsidR="00C5607E" w:rsidRPr="00C5607E">
        <w:rPr>
          <w:rFonts w:ascii="Segoe UI Symbol" w:hAnsi="Segoe UI Symbol" w:cs="Segoe UI Symbol"/>
          <w:lang w:val="es-MX"/>
        </w:rPr>
        <w:t>☐</w:t>
      </w:r>
    </w:p>
    <w:p w14:paraId="774EC717" w14:textId="43303599" w:rsidR="00B14D91" w:rsidRDefault="00C5607E" w:rsidP="00C5607E">
      <w:pPr>
        <w:ind w:left="720"/>
        <w:rPr>
          <w:lang w:val="es-MX"/>
        </w:rPr>
      </w:pPr>
      <w:r w:rsidRPr="00C5607E">
        <w:rPr>
          <w:lang w:val="es-MX"/>
        </w:rPr>
        <w:t>Puede</w:t>
      </w:r>
      <w:r>
        <w:rPr>
          <w:lang w:val="es-MX"/>
        </w:rPr>
        <w:t>s</w:t>
      </w:r>
      <w:r w:rsidRPr="00C5607E">
        <w:rPr>
          <w:lang w:val="es-MX"/>
        </w:rPr>
        <w:t xml:space="preserve"> registrar la mayoría de los tipos de negocios en línea, además de registrar una empresa unipersonal.</w:t>
      </w: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1A809324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C5607E" w:rsidRPr="00C5607E">
        <w:rPr>
          <w:b/>
          <w:bCs/>
          <w:lang w:val="es-MX"/>
        </w:rPr>
        <w:t>Registr</w:t>
      </w:r>
      <w:r w:rsidR="00C5607E">
        <w:rPr>
          <w:b/>
          <w:bCs/>
          <w:lang w:val="es-MX"/>
        </w:rPr>
        <w:t>a t</w:t>
      </w:r>
      <w:r w:rsidR="00C5607E" w:rsidRPr="00C5607E">
        <w:rPr>
          <w:b/>
          <w:bCs/>
          <w:lang w:val="es-MX"/>
        </w:rPr>
        <w:t xml:space="preserve">u negocio para </w:t>
      </w:r>
      <w:r w:rsidR="00C5607E">
        <w:rPr>
          <w:b/>
          <w:bCs/>
          <w:lang w:val="es-MX"/>
        </w:rPr>
        <w:t xml:space="preserve">el pago de </w:t>
      </w:r>
      <w:r w:rsidR="00C5607E" w:rsidRPr="00C5607E">
        <w:rPr>
          <w:b/>
          <w:bCs/>
          <w:lang w:val="es-MX"/>
        </w:rPr>
        <w:t>los impuestos</w:t>
      </w:r>
      <w:r w:rsidR="00745ADD" w:rsidRPr="00745ADD">
        <w:rPr>
          <w:b/>
          <w:bCs/>
          <w:lang w:val="es-MX"/>
        </w:rPr>
        <w:t>.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43BE1F63" w14:textId="458338F4" w:rsidR="00C86C48" w:rsidRPr="00C86C48" w:rsidRDefault="00E550D5" w:rsidP="00C86C48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="00C86C48" w:rsidRPr="00C86C48">
        <w:rPr>
          <w:lang w:val="es-MX"/>
        </w:rPr>
        <w:t>Regístr</w:t>
      </w:r>
      <w:r w:rsidR="00C86C48">
        <w:rPr>
          <w:lang w:val="es-MX"/>
        </w:rPr>
        <w:t>ate</w:t>
      </w:r>
      <w:r w:rsidR="00C86C48" w:rsidRPr="00C86C48">
        <w:rPr>
          <w:lang w:val="es-MX"/>
        </w:rPr>
        <w:t xml:space="preserve"> para</w:t>
      </w:r>
      <w:r w:rsidR="00C86C48">
        <w:rPr>
          <w:lang w:val="es-MX"/>
        </w:rPr>
        <w:t xml:space="preserve"> el pago del I</w:t>
      </w:r>
      <w:r w:rsidR="00C86C48" w:rsidRPr="00C86C48">
        <w:rPr>
          <w:lang w:val="es-MX"/>
        </w:rPr>
        <w:t xml:space="preserve">mpuestos sobre las </w:t>
      </w:r>
      <w:r w:rsidR="00C86C48">
        <w:rPr>
          <w:lang w:val="es-MX"/>
        </w:rPr>
        <w:t>V</w:t>
      </w:r>
      <w:r w:rsidR="00C86C48" w:rsidRPr="00C86C48">
        <w:rPr>
          <w:lang w:val="es-MX"/>
        </w:rPr>
        <w:t xml:space="preserve">entas. </w:t>
      </w:r>
      <w:r w:rsidR="00C86C48" w:rsidRPr="00C86C48">
        <w:rPr>
          <w:rFonts w:ascii="Segoe UI Symbol" w:hAnsi="Segoe UI Symbol" w:cs="Segoe UI Symbol"/>
          <w:lang w:val="es-MX"/>
        </w:rPr>
        <w:t>☐</w:t>
      </w:r>
    </w:p>
    <w:p w14:paraId="6FC6EE4E" w14:textId="4FD60E65" w:rsidR="00C86C48" w:rsidRDefault="00C86C48" w:rsidP="00C86C48">
      <w:pPr>
        <w:ind w:firstLine="720"/>
        <w:rPr>
          <w:lang w:val="es-MX"/>
        </w:rPr>
      </w:pPr>
      <w:r w:rsidRPr="00C86C48">
        <w:rPr>
          <w:lang w:val="es-MX"/>
        </w:rPr>
        <w:t xml:space="preserve">Si </w:t>
      </w:r>
      <w:r>
        <w:rPr>
          <w:lang w:val="es-MX"/>
        </w:rPr>
        <w:t>t</w:t>
      </w:r>
      <w:r w:rsidRPr="00C86C48">
        <w:rPr>
          <w:lang w:val="es-MX"/>
        </w:rPr>
        <w:t>u negocio vende bienes, tendrá</w:t>
      </w:r>
      <w:r>
        <w:rPr>
          <w:lang w:val="es-MX"/>
        </w:rPr>
        <w:t>s</w:t>
      </w:r>
      <w:r w:rsidRPr="00C86C48">
        <w:rPr>
          <w:lang w:val="es-MX"/>
        </w:rPr>
        <w:t xml:space="preserve"> que pagar impuestos sobre las ventas.</w:t>
      </w:r>
    </w:p>
    <w:p w14:paraId="74ADDD32" w14:textId="77777777" w:rsidR="00C86C48" w:rsidRPr="00C86C48" w:rsidRDefault="00C86C48" w:rsidP="00C86C48">
      <w:pPr>
        <w:ind w:firstLine="720"/>
        <w:rPr>
          <w:lang w:val="es-MX"/>
        </w:rPr>
      </w:pPr>
    </w:p>
    <w:p w14:paraId="022926D3" w14:textId="28F0AC4F" w:rsidR="00C6694C" w:rsidRDefault="00C86C48" w:rsidP="00C86C48">
      <w:pPr>
        <w:ind w:firstLine="720"/>
        <w:rPr>
          <w:lang w:val="es-MX"/>
        </w:rPr>
      </w:pPr>
      <w:r w:rsidRPr="00C86C48">
        <w:rPr>
          <w:lang w:val="es-MX"/>
        </w:rPr>
        <w:t>3.2. Regístr</w:t>
      </w:r>
      <w:r>
        <w:rPr>
          <w:lang w:val="es-MX"/>
        </w:rPr>
        <w:t>ate</w:t>
      </w:r>
      <w:r w:rsidRPr="00C86C48">
        <w:rPr>
          <w:lang w:val="es-MX"/>
        </w:rPr>
        <w:t xml:space="preserve"> para </w:t>
      </w:r>
      <w:r>
        <w:rPr>
          <w:lang w:val="es-MX"/>
        </w:rPr>
        <w:t>el</w:t>
      </w:r>
      <w:r w:rsidRPr="00C86C48">
        <w:rPr>
          <w:lang w:val="es-MX"/>
        </w:rPr>
        <w:t xml:space="preserve"> </w:t>
      </w:r>
      <w:r>
        <w:rPr>
          <w:lang w:val="es-MX"/>
        </w:rPr>
        <w:t>pago de I</w:t>
      </w:r>
      <w:r w:rsidRPr="00C86C48">
        <w:rPr>
          <w:lang w:val="es-MX"/>
        </w:rPr>
        <w:t xml:space="preserve">mpuestos sobre las </w:t>
      </w:r>
      <w:r>
        <w:rPr>
          <w:lang w:val="es-MX"/>
        </w:rPr>
        <w:t>V</w:t>
      </w:r>
      <w:r w:rsidRPr="00C86C48">
        <w:rPr>
          <w:lang w:val="es-MX"/>
        </w:rPr>
        <w:t xml:space="preserve">entas al por </w:t>
      </w:r>
      <w:r>
        <w:rPr>
          <w:lang w:val="es-MX"/>
        </w:rPr>
        <w:t>M</w:t>
      </w:r>
      <w:r w:rsidRPr="00C86C48">
        <w:rPr>
          <w:lang w:val="es-MX"/>
        </w:rPr>
        <w:t xml:space="preserve">ayor.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5E049201" w14:textId="34F33E1A" w:rsidR="00C86C48" w:rsidRDefault="00C86C48" w:rsidP="00C86C48">
      <w:pPr>
        <w:ind w:left="720"/>
        <w:rPr>
          <w:lang w:val="es-MX"/>
        </w:rPr>
      </w:pPr>
      <w:r w:rsidRPr="00C86C48">
        <w:rPr>
          <w:lang w:val="es-MX"/>
        </w:rPr>
        <w:t xml:space="preserve">Si </w:t>
      </w:r>
      <w:r>
        <w:rPr>
          <w:lang w:val="es-MX"/>
        </w:rPr>
        <w:t>adquieres</w:t>
      </w:r>
      <w:r w:rsidRPr="00C86C48">
        <w:rPr>
          <w:lang w:val="es-MX"/>
        </w:rPr>
        <w:t xml:space="preserve"> los activos de un</w:t>
      </w:r>
      <w:r>
        <w:rPr>
          <w:lang w:val="es-MX"/>
        </w:rPr>
        <w:t xml:space="preserve"> negocio</w:t>
      </w:r>
      <w:r w:rsidRPr="00C86C48">
        <w:rPr>
          <w:lang w:val="es-MX"/>
        </w:rPr>
        <w:t xml:space="preserve"> o compra</w:t>
      </w:r>
      <w:r>
        <w:rPr>
          <w:lang w:val="es-MX"/>
        </w:rPr>
        <w:t>s</w:t>
      </w:r>
      <w:r w:rsidRPr="00C86C48">
        <w:rPr>
          <w:lang w:val="es-MX"/>
        </w:rPr>
        <w:t xml:space="preserve"> una empresa</w:t>
      </w:r>
      <w:r>
        <w:rPr>
          <w:lang w:val="es-MX"/>
        </w:rPr>
        <w:t>,</w:t>
      </w:r>
      <w:r w:rsidRPr="00C86C48">
        <w:rPr>
          <w:lang w:val="es-MX"/>
        </w:rPr>
        <w:t xml:space="preserve"> debe</w:t>
      </w:r>
      <w:r>
        <w:rPr>
          <w:lang w:val="es-MX"/>
        </w:rPr>
        <w:t>s</w:t>
      </w:r>
      <w:r w:rsidRPr="00C86C48">
        <w:rPr>
          <w:lang w:val="es-MX"/>
        </w:rPr>
        <w:t xml:space="preserve"> registrar</w:t>
      </w:r>
      <w:r>
        <w:rPr>
          <w:lang w:val="es-MX"/>
        </w:rPr>
        <w:t>t</w:t>
      </w:r>
      <w:r w:rsidRPr="00C86C48">
        <w:rPr>
          <w:lang w:val="es-MX"/>
        </w:rPr>
        <w:t>e para</w:t>
      </w:r>
      <w:r>
        <w:rPr>
          <w:lang w:val="es-MX"/>
        </w:rPr>
        <w:t xml:space="preserve"> el pago de</w:t>
      </w:r>
      <w:r w:rsidRPr="00C86C48">
        <w:rPr>
          <w:lang w:val="es-MX"/>
        </w:rPr>
        <w:t xml:space="preserve"> los impuestos sobre las ventas al por mayor.</w:t>
      </w:r>
    </w:p>
    <w:p w14:paraId="5A4C535F" w14:textId="77777777" w:rsidR="00C86C48" w:rsidRPr="00C86C48" w:rsidRDefault="00C86C48" w:rsidP="00C86C48">
      <w:pPr>
        <w:ind w:left="720"/>
        <w:rPr>
          <w:lang w:val="es-MX"/>
        </w:rPr>
      </w:pPr>
    </w:p>
    <w:p w14:paraId="706223AD" w14:textId="38B0CFB5" w:rsidR="00C86C48" w:rsidRPr="00C86C48" w:rsidRDefault="00C86C48" w:rsidP="00C86C48">
      <w:pPr>
        <w:ind w:firstLine="720"/>
        <w:rPr>
          <w:lang w:val="es-MX"/>
        </w:rPr>
      </w:pPr>
      <w:r w:rsidRPr="00C86C48">
        <w:rPr>
          <w:lang w:val="es-MX"/>
        </w:rPr>
        <w:t>3.3. Regístr</w:t>
      </w:r>
      <w:r>
        <w:rPr>
          <w:lang w:val="es-MX"/>
        </w:rPr>
        <w:t>ate</w:t>
      </w:r>
      <w:r w:rsidRPr="00C86C48">
        <w:rPr>
          <w:lang w:val="es-MX"/>
        </w:rPr>
        <w:t xml:space="preserve"> para el</w:t>
      </w:r>
      <w:r>
        <w:rPr>
          <w:lang w:val="es-MX"/>
        </w:rPr>
        <w:t xml:space="preserve"> pago del</w:t>
      </w:r>
      <w:r w:rsidRPr="00C86C48">
        <w:rPr>
          <w:lang w:val="es-MX"/>
        </w:rPr>
        <w:t xml:space="preserve"> </w:t>
      </w:r>
      <w:r>
        <w:rPr>
          <w:lang w:val="es-MX"/>
        </w:rPr>
        <w:t>I</w:t>
      </w:r>
      <w:r w:rsidRPr="00C86C48">
        <w:rPr>
          <w:lang w:val="es-MX"/>
        </w:rPr>
        <w:t xml:space="preserve">mpuesto de </w:t>
      </w:r>
      <w:r>
        <w:rPr>
          <w:lang w:val="es-MX"/>
        </w:rPr>
        <w:t>Corporación</w:t>
      </w:r>
      <w:r w:rsidRPr="00C86C48">
        <w:rPr>
          <w:lang w:val="es-MX"/>
        </w:rPr>
        <w:t xml:space="preserve">.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0C79B4CB" w14:textId="79827CB3" w:rsidR="00C6694C" w:rsidRPr="00C6694C" w:rsidRDefault="00C86C48" w:rsidP="00C86C48">
      <w:pPr>
        <w:ind w:firstLine="720"/>
        <w:rPr>
          <w:lang w:val="es-MX"/>
        </w:rPr>
      </w:pPr>
      <w:r>
        <w:rPr>
          <w:lang w:val="es-MX"/>
        </w:rPr>
        <w:t>Todas l</w:t>
      </w:r>
      <w:r w:rsidRPr="00C86C48">
        <w:rPr>
          <w:lang w:val="es-MX"/>
        </w:rPr>
        <w:t xml:space="preserve">as corporaciones deben registrarse para </w:t>
      </w:r>
      <w:r w:rsidR="00386E3F">
        <w:rPr>
          <w:lang w:val="es-MX"/>
        </w:rPr>
        <w:t xml:space="preserve">el pago de </w:t>
      </w:r>
      <w:r>
        <w:rPr>
          <w:lang w:val="es-MX"/>
        </w:rPr>
        <w:t>dicho</w:t>
      </w:r>
      <w:r w:rsidRPr="00C86C48">
        <w:rPr>
          <w:lang w:val="es-MX"/>
        </w:rPr>
        <w:t xml:space="preserve"> impuesto.</w:t>
      </w:r>
    </w:p>
    <w:p w14:paraId="097A18AF" w14:textId="16BACE5C" w:rsidR="00C86C48" w:rsidRDefault="00C86C48" w:rsidP="00C86C48">
      <w:pPr>
        <w:rPr>
          <w:rFonts w:ascii="Segoe UI Symbol" w:hAnsi="Segoe UI Symbol" w:cs="Segoe UI Symbol"/>
          <w:lang w:val="es-MX"/>
        </w:rPr>
      </w:pPr>
      <w:r w:rsidRPr="00C86C48">
        <w:rPr>
          <w:rFonts w:cstheme="minorHAnsi"/>
          <w:b/>
          <w:bCs/>
          <w:lang w:val="es-MX"/>
        </w:rPr>
        <w:lastRenderedPageBreak/>
        <w:t>4. Contrata empleados y rep</w:t>
      </w:r>
      <w:r w:rsidR="00386E3F">
        <w:rPr>
          <w:rFonts w:cstheme="minorHAnsi"/>
          <w:b/>
          <w:bCs/>
          <w:lang w:val="es-MX"/>
        </w:rPr>
        <w:t>ó</w:t>
      </w:r>
      <w:r w:rsidRPr="00C86C48">
        <w:rPr>
          <w:rFonts w:cstheme="minorHAnsi"/>
          <w:b/>
          <w:bCs/>
          <w:lang w:val="es-MX"/>
        </w:rPr>
        <w:t>rtalos al estado.</w:t>
      </w:r>
      <w:r w:rsidRPr="00C86C48">
        <w:rPr>
          <w:rFonts w:cstheme="minorHAnsi"/>
          <w:lang w:val="es-MX"/>
        </w:rPr>
        <w:t xml:space="preserve">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7B5A4D14" w14:textId="77777777" w:rsidR="00C86C48" w:rsidRPr="00C86C48" w:rsidRDefault="00C86C48" w:rsidP="00C86C48">
      <w:pPr>
        <w:rPr>
          <w:rFonts w:cstheme="minorHAnsi"/>
          <w:lang w:val="es-MX"/>
        </w:rPr>
      </w:pPr>
    </w:p>
    <w:p w14:paraId="2C11AEDE" w14:textId="3DD500BB" w:rsidR="00C86C48" w:rsidRPr="00C86C48" w:rsidRDefault="00C86C48" w:rsidP="00C86C48">
      <w:pPr>
        <w:ind w:firstLine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>4.1. Reporta</w:t>
      </w:r>
      <w:r w:rsidR="004D3297">
        <w:rPr>
          <w:rFonts w:cstheme="minorHAnsi"/>
          <w:lang w:val="es-MX"/>
        </w:rPr>
        <w:t xml:space="preserve"> las</w:t>
      </w:r>
      <w:r w:rsidRPr="00C86C48">
        <w:rPr>
          <w:rFonts w:cstheme="minorHAnsi"/>
          <w:lang w:val="es-MX"/>
        </w:rPr>
        <w:t xml:space="preserve"> nuevas contrataciones.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3D6E4474" w14:textId="3D54408F" w:rsidR="00C86C48" w:rsidRDefault="00C86C48" w:rsidP="00C86C48">
      <w:pPr>
        <w:ind w:firstLine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>Report</w:t>
      </w:r>
      <w:r w:rsidR="00686B3E">
        <w:rPr>
          <w:rFonts w:cstheme="minorHAnsi"/>
          <w:lang w:val="es-MX"/>
        </w:rPr>
        <w:t>a los</w:t>
      </w:r>
      <w:r w:rsidRPr="00C86C48">
        <w:rPr>
          <w:rFonts w:cstheme="minorHAnsi"/>
          <w:lang w:val="es-MX"/>
        </w:rPr>
        <w:t xml:space="preserve"> nuevos empleados al estado usando una herramienta en línea.</w:t>
      </w:r>
    </w:p>
    <w:p w14:paraId="45CA5950" w14:textId="77777777" w:rsidR="00C86C48" w:rsidRPr="00C86C48" w:rsidRDefault="00C86C48" w:rsidP="00C86C48">
      <w:pPr>
        <w:ind w:firstLine="720"/>
        <w:rPr>
          <w:rFonts w:cstheme="minorHAnsi"/>
          <w:lang w:val="es-MX"/>
        </w:rPr>
      </w:pPr>
    </w:p>
    <w:p w14:paraId="4A44ECC2" w14:textId="5704C0BD" w:rsidR="00C86C48" w:rsidRPr="00C86C48" w:rsidRDefault="00C86C48" w:rsidP="00C86C48">
      <w:pPr>
        <w:ind w:firstLine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 xml:space="preserve">4.2. Compra un seguro de </w:t>
      </w:r>
      <w:r w:rsidR="00686B3E">
        <w:rPr>
          <w:rFonts w:cstheme="minorHAnsi"/>
          <w:lang w:val="es-MX"/>
        </w:rPr>
        <w:t>discapacidad</w:t>
      </w:r>
      <w:r w:rsidRPr="00C86C48">
        <w:rPr>
          <w:rFonts w:cstheme="minorHAnsi"/>
          <w:lang w:val="es-MX"/>
        </w:rPr>
        <w:t xml:space="preserve">.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513BA76A" w14:textId="10405AE1" w:rsidR="00C86C48" w:rsidRDefault="00C86C48" w:rsidP="00C86C48">
      <w:pPr>
        <w:ind w:firstLine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>Puede</w:t>
      </w:r>
      <w:r w:rsidR="00686B3E">
        <w:rPr>
          <w:rFonts w:cstheme="minorHAnsi"/>
          <w:lang w:val="es-MX"/>
        </w:rPr>
        <w:t>s</w:t>
      </w:r>
      <w:r w:rsidRPr="00C86C48">
        <w:rPr>
          <w:rFonts w:cstheme="minorHAnsi"/>
          <w:lang w:val="es-MX"/>
        </w:rPr>
        <w:t xml:space="preserve"> adquirir un seguro de</w:t>
      </w:r>
      <w:r w:rsidR="00686B3E">
        <w:rPr>
          <w:rFonts w:cstheme="minorHAnsi"/>
          <w:lang w:val="es-MX"/>
        </w:rPr>
        <w:t xml:space="preserve"> discapacidad</w:t>
      </w:r>
      <w:r w:rsidRPr="00C86C48">
        <w:rPr>
          <w:rFonts w:cstheme="minorHAnsi"/>
          <w:lang w:val="es-MX"/>
        </w:rPr>
        <w:t xml:space="preserve"> de una aseguradora privada.</w:t>
      </w:r>
    </w:p>
    <w:p w14:paraId="377A4684" w14:textId="77777777" w:rsidR="00C86C48" w:rsidRPr="00C86C48" w:rsidRDefault="00C86C48" w:rsidP="00C86C48">
      <w:pPr>
        <w:ind w:firstLine="720"/>
        <w:rPr>
          <w:rFonts w:cstheme="minorHAnsi"/>
          <w:lang w:val="es-MX"/>
        </w:rPr>
      </w:pPr>
    </w:p>
    <w:p w14:paraId="78927EA5" w14:textId="32FD277B" w:rsidR="00C86C48" w:rsidRPr="00C86C48" w:rsidRDefault="00C86C48" w:rsidP="00C86C48">
      <w:pPr>
        <w:ind w:firstLine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>4.3. Obt</w:t>
      </w:r>
      <w:r w:rsidR="00686B3E">
        <w:rPr>
          <w:rFonts w:cstheme="minorHAnsi"/>
          <w:lang w:val="es-MX"/>
        </w:rPr>
        <w:t>én</w:t>
      </w:r>
      <w:r w:rsidRPr="00C86C48">
        <w:rPr>
          <w:rFonts w:cstheme="minorHAnsi"/>
          <w:lang w:val="es-MX"/>
        </w:rPr>
        <w:t xml:space="preserve"> un seguro de compensación para trabajadores. </w:t>
      </w:r>
      <w:r w:rsidRPr="00C86C48">
        <w:rPr>
          <w:rFonts w:ascii="Segoe UI Symbol" w:hAnsi="Segoe UI Symbol" w:cs="Segoe UI Symbol"/>
          <w:lang w:val="es-MX"/>
        </w:rPr>
        <w:t>☐</w:t>
      </w:r>
    </w:p>
    <w:p w14:paraId="0F835D26" w14:textId="2BD956D9" w:rsidR="00CF1093" w:rsidRPr="00C86C48" w:rsidRDefault="00C86C48" w:rsidP="00C86C48">
      <w:pPr>
        <w:ind w:left="720"/>
        <w:rPr>
          <w:rFonts w:cstheme="minorHAnsi"/>
          <w:lang w:val="es-MX"/>
        </w:rPr>
      </w:pPr>
      <w:r w:rsidRPr="00C86C48">
        <w:rPr>
          <w:rFonts w:cstheme="minorHAnsi"/>
          <w:lang w:val="es-MX"/>
        </w:rPr>
        <w:t>Puede</w:t>
      </w:r>
      <w:r w:rsidR="00686B3E">
        <w:rPr>
          <w:rFonts w:cstheme="minorHAnsi"/>
          <w:lang w:val="es-MX"/>
        </w:rPr>
        <w:t>s</w:t>
      </w:r>
      <w:r w:rsidRPr="00C86C48">
        <w:rPr>
          <w:rFonts w:cstheme="minorHAnsi"/>
          <w:lang w:val="es-MX"/>
        </w:rPr>
        <w:t xml:space="preserve"> comprar un seguro de compensación para trabajadores de una aseguradora privada, a través del Fondo de Seguros del Estado u obtener el permiso de la Junta de Compensación para Trabajadores para </w:t>
      </w:r>
      <w:proofErr w:type="spellStart"/>
      <w:r w:rsidRPr="00C86C48">
        <w:rPr>
          <w:rFonts w:cstheme="minorHAnsi"/>
          <w:lang w:val="es-MX"/>
        </w:rPr>
        <w:t>autoasegura</w:t>
      </w:r>
      <w:r w:rsidR="00686B3E">
        <w:rPr>
          <w:rFonts w:cstheme="minorHAnsi"/>
          <w:lang w:val="es-MX"/>
        </w:rPr>
        <w:t>rte</w:t>
      </w:r>
      <w:proofErr w:type="spellEnd"/>
      <w:r w:rsidRPr="00C86C48">
        <w:rPr>
          <w:rFonts w:cstheme="minorHAnsi"/>
          <w:lang w:val="es-MX"/>
        </w:rPr>
        <w:t>.</w:t>
      </w:r>
    </w:p>
    <w:p w14:paraId="3B1254FD" w14:textId="77777777" w:rsidR="00CF1093" w:rsidRPr="00B14D91" w:rsidRDefault="00CF1093" w:rsidP="00B14D91">
      <w:pPr>
        <w:ind w:firstLine="720"/>
        <w:rPr>
          <w:lang w:val="es-MX"/>
        </w:rPr>
      </w:pPr>
    </w:p>
    <w:p w14:paraId="7B70466F" w14:textId="6B0DE297" w:rsidR="00B14D91" w:rsidRDefault="00B14D91" w:rsidP="00745ADD">
      <w:pPr>
        <w:rPr>
          <w:rFonts w:ascii="Segoe UI Symbol" w:hAnsi="Segoe UI Symbol" w:cs="Segoe UI Symbol"/>
          <w:lang w:val="es-MX"/>
        </w:rPr>
      </w:pPr>
    </w:p>
    <w:p w14:paraId="39A06006" w14:textId="77777777" w:rsidR="00B14D91" w:rsidRPr="00B14D91" w:rsidRDefault="00B14D91" w:rsidP="00B14D91">
      <w:pPr>
        <w:ind w:firstLine="720"/>
        <w:rPr>
          <w:lang w:val="es-MX"/>
        </w:rPr>
      </w:pPr>
    </w:p>
    <w:p w14:paraId="38120A65" w14:textId="27258CED" w:rsidR="00AF1EBC" w:rsidRDefault="00AF1EBC" w:rsidP="00AF1EBC">
      <w:pPr>
        <w:ind w:left="720"/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104D" w14:textId="77777777" w:rsidR="001A7E1D" w:rsidRDefault="001A7E1D" w:rsidP="001F1808">
      <w:r>
        <w:separator/>
      </w:r>
    </w:p>
  </w:endnote>
  <w:endnote w:type="continuationSeparator" w:id="0">
    <w:p w14:paraId="4E973CBC" w14:textId="77777777" w:rsidR="001A7E1D" w:rsidRDefault="001A7E1D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60D0338D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proofErr w:type="spellStart"/>
      <w:r w:rsidR="00B14D91" w:rsidRPr="00B14D91">
        <w:rPr>
          <w:rStyle w:val="Hipervnculo"/>
          <w:lang w:val="es-MX"/>
        </w:rPr>
        <w:t>ch</w:t>
      </w:r>
      <w:r w:rsidR="00B14D91">
        <w:rPr>
          <w:rStyle w:val="Hipervnculo"/>
          <w:lang w:val="es-MX"/>
        </w:rPr>
        <w:t>ecklist</w:t>
      </w:r>
      <w:proofErr w:type="spellEnd"/>
      <w:r w:rsidR="00B14D91">
        <w:rPr>
          <w:rStyle w:val="Hipervnculo"/>
          <w:lang w:val="es-MX"/>
        </w:rPr>
        <w:t xml:space="preserve"> para un</w:t>
      </w:r>
      <w:r w:rsidR="00846B29">
        <w:rPr>
          <w:rStyle w:val="Hipervnculo"/>
          <w:lang w:val="es-MX"/>
        </w:rPr>
        <w:t xml:space="preserve">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B14D91">
      <w:rPr>
        <w:rStyle w:val="Hipervnculo"/>
        <w:lang w:val="es-MX"/>
      </w:rPr>
      <w:t xml:space="preserve"> de </w:t>
    </w:r>
    <w:r w:rsidR="00C5607E">
      <w:rPr>
        <w:rStyle w:val="Hipervnculo"/>
        <w:lang w:val="es-MX"/>
      </w:rPr>
      <w:t xml:space="preserve">Nueva </w:t>
    </w:r>
    <w:proofErr w:type="gramStart"/>
    <w:r w:rsidR="00C5607E">
      <w:rPr>
        <w:rStyle w:val="Hipervnculo"/>
        <w:lang w:val="es-MX"/>
      </w:rPr>
      <w:t>York</w:t>
    </w:r>
    <w:r w:rsidR="009B6CA4">
      <w:rPr>
        <w:rStyle w:val="Hipervnculo"/>
        <w:lang w:val="es-MX"/>
      </w:rPr>
      <w:t xml:space="preserve">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</w:t>
    </w:r>
    <w:proofErr w:type="gramEnd"/>
    <w:r w:rsidR="00846B29" w:rsidRPr="00846B29">
      <w:rPr>
        <w:color w:val="000000" w:themeColor="text1"/>
        <w:lang w:val="es-MX"/>
      </w:rPr>
      <w:t xml:space="preserve">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proofErr w:type="spellStart"/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  <w:proofErr w:type="spellEnd"/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68EA" w14:textId="77777777" w:rsidR="001A7E1D" w:rsidRDefault="001A7E1D" w:rsidP="001F1808">
      <w:r>
        <w:separator/>
      </w:r>
    </w:p>
  </w:footnote>
  <w:footnote w:type="continuationSeparator" w:id="0">
    <w:p w14:paraId="1D76C070" w14:textId="77777777" w:rsidR="001A7E1D" w:rsidRDefault="001A7E1D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01DDC"/>
    <w:rsid w:val="00122560"/>
    <w:rsid w:val="001948B6"/>
    <w:rsid w:val="001A7E1D"/>
    <w:rsid w:val="001F1808"/>
    <w:rsid w:val="00233BB3"/>
    <w:rsid w:val="00265B36"/>
    <w:rsid w:val="002D3636"/>
    <w:rsid w:val="00300B4A"/>
    <w:rsid w:val="00340D0E"/>
    <w:rsid w:val="003623D2"/>
    <w:rsid w:val="00386E3F"/>
    <w:rsid w:val="003910B3"/>
    <w:rsid w:val="00440D97"/>
    <w:rsid w:val="00473A7C"/>
    <w:rsid w:val="004D3297"/>
    <w:rsid w:val="0050040A"/>
    <w:rsid w:val="00502F84"/>
    <w:rsid w:val="00551EFA"/>
    <w:rsid w:val="005C430E"/>
    <w:rsid w:val="005E7EDD"/>
    <w:rsid w:val="005F702B"/>
    <w:rsid w:val="00650550"/>
    <w:rsid w:val="0066746B"/>
    <w:rsid w:val="00686B3E"/>
    <w:rsid w:val="006E47C6"/>
    <w:rsid w:val="00714512"/>
    <w:rsid w:val="00745ADD"/>
    <w:rsid w:val="007A4518"/>
    <w:rsid w:val="007C446A"/>
    <w:rsid w:val="007D6F4E"/>
    <w:rsid w:val="00846B29"/>
    <w:rsid w:val="008633D0"/>
    <w:rsid w:val="008A6A29"/>
    <w:rsid w:val="008D5DD2"/>
    <w:rsid w:val="008F0322"/>
    <w:rsid w:val="00956957"/>
    <w:rsid w:val="009625EC"/>
    <w:rsid w:val="0096479A"/>
    <w:rsid w:val="009B6CA4"/>
    <w:rsid w:val="009E7ED2"/>
    <w:rsid w:val="00A725D1"/>
    <w:rsid w:val="00A91025"/>
    <w:rsid w:val="00AF1EBC"/>
    <w:rsid w:val="00B14D91"/>
    <w:rsid w:val="00BB2EDB"/>
    <w:rsid w:val="00BD78DE"/>
    <w:rsid w:val="00C253B4"/>
    <w:rsid w:val="00C4445E"/>
    <w:rsid w:val="00C51DAD"/>
    <w:rsid w:val="00C5607E"/>
    <w:rsid w:val="00C6694C"/>
    <w:rsid w:val="00C74298"/>
    <w:rsid w:val="00C86C4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24</cp:revision>
  <dcterms:created xsi:type="dcterms:W3CDTF">2022-03-28T20:45:00Z</dcterms:created>
  <dcterms:modified xsi:type="dcterms:W3CDTF">2022-04-06T16:20:00Z</dcterms:modified>
</cp:coreProperties>
</file>